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FA22C" w14:textId="77777777" w:rsidR="00FA3E61" w:rsidRPr="00FA3E61" w:rsidRDefault="00FA3E61" w:rsidP="00FA3E61">
      <w:pPr>
        <w:spacing w:after="160" w:line="259" w:lineRule="auto"/>
        <w:rPr>
          <w:rFonts w:ascii="Times New Roman" w:eastAsia="Calibri" w:hAnsi="Times New Roman" w:cs="Times New Roman"/>
          <w:sz w:val="20"/>
          <w:szCs w:val="20"/>
        </w:rPr>
      </w:pPr>
      <w:r w:rsidRPr="00FA3E61">
        <w:rPr>
          <w:rFonts w:ascii="Times New Roman" w:eastAsia="Calibri" w:hAnsi="Times New Roman" w:cs="Times New Roman"/>
          <w:sz w:val="20"/>
          <w:szCs w:val="20"/>
        </w:rPr>
        <w:t>Invasive Species and Fire Effects</w:t>
      </w:r>
    </w:p>
    <w:p w14:paraId="03CD386C" w14:textId="77777777" w:rsidR="00FA3E61" w:rsidRPr="00FA3E61" w:rsidRDefault="00FA3E61" w:rsidP="00FA3E61">
      <w:pPr>
        <w:spacing w:after="160" w:line="259" w:lineRule="auto"/>
        <w:rPr>
          <w:rFonts w:ascii="Times New Roman" w:eastAsia="Calibri" w:hAnsi="Times New Roman" w:cs="Times New Roman"/>
          <w:sz w:val="20"/>
          <w:szCs w:val="20"/>
        </w:rPr>
      </w:pPr>
      <w:r w:rsidRPr="00FA3E61">
        <w:rPr>
          <w:rFonts w:ascii="Times New Roman" w:eastAsia="Calibri" w:hAnsi="Times New Roman" w:cs="Times New Roman"/>
          <w:sz w:val="20"/>
          <w:szCs w:val="20"/>
        </w:rPr>
        <w:t>Oriental Bittersweet (</w:t>
      </w:r>
      <w:proofErr w:type="spellStart"/>
      <w:r w:rsidRPr="00FA3E61">
        <w:rPr>
          <w:rFonts w:ascii="Times New Roman" w:eastAsia="Calibri" w:hAnsi="Times New Roman" w:cs="Times New Roman"/>
          <w:sz w:val="20"/>
          <w:szCs w:val="20"/>
        </w:rPr>
        <w:t>Celastrus</w:t>
      </w:r>
      <w:proofErr w:type="spellEnd"/>
      <w:r w:rsidRPr="00FA3E61">
        <w:rPr>
          <w:rFonts w:ascii="Times New Roman" w:eastAsia="Calibri" w:hAnsi="Times New Roman" w:cs="Times New Roman"/>
          <w:sz w:val="20"/>
          <w:szCs w:val="20"/>
        </w:rPr>
        <w:t xml:space="preserve"> orbiculatus)</w:t>
      </w:r>
    </w:p>
    <w:p w14:paraId="72FA30D1" w14:textId="77777777" w:rsidR="00FA3E61" w:rsidRPr="00FA3E61" w:rsidRDefault="00FA3E61" w:rsidP="00FA3E61">
      <w:pPr>
        <w:spacing w:after="160" w:line="259" w:lineRule="auto"/>
        <w:rPr>
          <w:rFonts w:ascii="Times New Roman" w:eastAsia="Calibri" w:hAnsi="Times New Roman" w:cs="Times New Roman"/>
          <w:sz w:val="20"/>
          <w:szCs w:val="20"/>
        </w:rPr>
      </w:pPr>
      <w:r w:rsidRPr="00FA3E61">
        <w:rPr>
          <w:rFonts w:ascii="Times New Roman" w:eastAsia="Calibri" w:hAnsi="Times New Roman" w:cs="Times New Roman"/>
          <w:sz w:val="20"/>
          <w:szCs w:val="20"/>
        </w:rPr>
        <w:t>Fire adaptations: Oriental bittersweet sprouts from the root crown and roots [3,26,30,152]. Additionally, it produces abundant, animal-dispersed seed and shows rapid growth on open sites [25,49,62,135,152,171] (see Regeneration Processes). Although there is no literature suggesting that these regeneration strategies evolved in response to fire disturbances in southeastern Asia, sprouting, bird dispersal of off-site seed, and rapid growth would likely favor Oriental bittersweet regeneration in postfire environments of North America.</w:t>
      </w:r>
    </w:p>
    <w:p w14:paraId="032FBADD" w14:textId="77777777" w:rsidR="00FA3E61" w:rsidRPr="00FA3E61" w:rsidRDefault="00FA3E61" w:rsidP="00FA3E61">
      <w:pPr>
        <w:spacing w:after="160" w:line="259" w:lineRule="auto"/>
        <w:rPr>
          <w:rFonts w:ascii="Times New Roman" w:eastAsia="Calibri" w:hAnsi="Times New Roman" w:cs="Times New Roman"/>
          <w:sz w:val="20"/>
          <w:szCs w:val="20"/>
        </w:rPr>
      </w:pPr>
    </w:p>
    <w:p w14:paraId="59206A5A" w14:textId="77777777" w:rsidR="00FA3E61" w:rsidRPr="00FA3E61" w:rsidRDefault="00FA3E61" w:rsidP="00FA3E61">
      <w:pPr>
        <w:spacing w:after="160" w:line="259" w:lineRule="auto"/>
        <w:rPr>
          <w:rFonts w:ascii="Times New Roman" w:eastAsia="Calibri" w:hAnsi="Times New Roman" w:cs="Times New Roman"/>
          <w:sz w:val="20"/>
          <w:szCs w:val="20"/>
        </w:rPr>
      </w:pPr>
      <w:r w:rsidRPr="00FA3E61">
        <w:rPr>
          <w:rFonts w:ascii="Times New Roman" w:eastAsia="Calibri" w:hAnsi="Times New Roman" w:cs="Times New Roman"/>
          <w:sz w:val="20"/>
          <w:szCs w:val="20"/>
        </w:rPr>
        <w:t xml:space="preserve">Plant response to fire: Published accounts of Oriental bittersweet's response to fire were sparse as of this writing (2011); however, since Oriental bittersweet can sprout from the root crown and roots and establishes from animal-dispersed seed following other types of disturbance, it would likely establish from sprouts and/or seed after fire. Dibble and others [21] inferred that species like Oriental bittersweet, which persist in closed canopies and spread after the canopy opens, may </w:t>
      </w:r>
      <w:proofErr w:type="gramStart"/>
      <w:r w:rsidRPr="00FA3E61">
        <w:rPr>
          <w:rFonts w:ascii="Times New Roman" w:eastAsia="Calibri" w:hAnsi="Times New Roman" w:cs="Times New Roman"/>
          <w:sz w:val="20"/>
          <w:szCs w:val="20"/>
        </w:rPr>
        <w:t>spread</w:t>
      </w:r>
      <w:proofErr w:type="gramEnd"/>
      <w:r w:rsidRPr="00FA3E61">
        <w:rPr>
          <w:rFonts w:ascii="Times New Roman" w:eastAsia="Calibri" w:hAnsi="Times New Roman" w:cs="Times New Roman"/>
          <w:sz w:val="20"/>
          <w:szCs w:val="20"/>
        </w:rPr>
        <w:t xml:space="preserve"> and become dominant in early postfire environments. Both Oriental bittersweet sprouts and seedlings respond to canopy release with rapid growth [49,104] (see Successional Status and Plant growth). Oriental bittersweet may increase after nutrient flushes (see Disturbance), which often occur after fire [1,2,69]. It may also establish later in postfire succession. In southeastern Connecticut, portions of an old field that was burned and abandoned 40 years prior to the study were dominated by Oriental bittersweet, with Japanese and Morrow's honeysuckle also establishing around postfire year 40 [19].</w:t>
      </w:r>
    </w:p>
    <w:p w14:paraId="4B9CF622" w14:textId="77777777" w:rsidR="00FA3E61" w:rsidRPr="00FA3E61" w:rsidRDefault="00FA3E61" w:rsidP="00FA3E61">
      <w:pPr>
        <w:spacing w:after="160" w:line="259" w:lineRule="auto"/>
        <w:rPr>
          <w:rFonts w:ascii="Times New Roman" w:eastAsia="Calibri" w:hAnsi="Times New Roman" w:cs="Times New Roman"/>
          <w:sz w:val="20"/>
          <w:szCs w:val="20"/>
        </w:rPr>
      </w:pPr>
    </w:p>
    <w:p w14:paraId="5F9B555C" w14:textId="77777777" w:rsidR="00FA3E61" w:rsidRPr="00FA3E61" w:rsidRDefault="00FA3E61" w:rsidP="00FA3E61">
      <w:pPr>
        <w:spacing w:after="160" w:line="259" w:lineRule="auto"/>
        <w:rPr>
          <w:rFonts w:ascii="Times New Roman" w:eastAsia="Calibri" w:hAnsi="Times New Roman" w:cs="Times New Roman"/>
          <w:sz w:val="20"/>
          <w:szCs w:val="20"/>
        </w:rPr>
      </w:pPr>
      <w:r w:rsidRPr="00FA3E61">
        <w:rPr>
          <w:rFonts w:ascii="Times New Roman" w:eastAsia="Calibri" w:hAnsi="Times New Roman" w:cs="Times New Roman"/>
          <w:sz w:val="20"/>
          <w:szCs w:val="20"/>
        </w:rPr>
        <w:t xml:space="preserve">Seedling establishment: </w:t>
      </w:r>
      <w:proofErr w:type="gramStart"/>
      <w:r w:rsidRPr="00FA3E61">
        <w:rPr>
          <w:rFonts w:ascii="Times New Roman" w:eastAsia="Calibri" w:hAnsi="Times New Roman" w:cs="Times New Roman"/>
          <w:sz w:val="20"/>
          <w:szCs w:val="20"/>
        </w:rPr>
        <w:t>New</w:t>
      </w:r>
      <w:proofErr w:type="gramEnd"/>
      <w:r w:rsidRPr="00FA3E61">
        <w:rPr>
          <w:rFonts w:ascii="Times New Roman" w:eastAsia="Calibri" w:hAnsi="Times New Roman" w:cs="Times New Roman"/>
          <w:sz w:val="20"/>
          <w:szCs w:val="20"/>
        </w:rPr>
        <w:t xml:space="preserve"> burns may provide favorable sites for Oriental bittersweet establishment. Field and laboratory studies suggest that open conditions [30,94,117,143] and exposed mineral soil [103,143] favor Oriental bittersweet seedling establishment on mesic sites. Plants with bird-dispersed seed have good opportunities for short- and long-distance seed transport after fire [84]. Birds are known to disperse Oriental bittersweet seeds from nearby seed sources onto old fields and other disturbed sites [34,104,135], so they would likely disperse Oriental bittersweet seed onto burns as well. Long gut-retention times for Oriental bittersweet seed may result in long-distance dispersal by birds [39]. Greenberg and others' [48] germination study suggests that seed scarification by fire or animals does not enhance Oriental bittersweet germination rates.</w:t>
      </w:r>
    </w:p>
    <w:p w14:paraId="6526908C" w14:textId="77777777" w:rsidR="00FA3E61" w:rsidRPr="00FA3E61" w:rsidRDefault="00FA3E61" w:rsidP="00FA3E61">
      <w:pPr>
        <w:spacing w:after="160" w:line="259" w:lineRule="auto"/>
        <w:rPr>
          <w:rFonts w:ascii="Times New Roman" w:eastAsia="Calibri" w:hAnsi="Times New Roman" w:cs="Times New Roman"/>
          <w:sz w:val="20"/>
          <w:szCs w:val="20"/>
        </w:rPr>
      </w:pPr>
    </w:p>
    <w:p w14:paraId="13843ACE" w14:textId="77777777" w:rsidR="00FA3E61" w:rsidRPr="00FA3E61" w:rsidRDefault="00FA3E61" w:rsidP="00FA3E61">
      <w:pPr>
        <w:spacing w:after="160" w:line="259" w:lineRule="auto"/>
        <w:rPr>
          <w:rFonts w:ascii="Times New Roman" w:eastAsia="Calibri" w:hAnsi="Times New Roman" w:cs="Times New Roman"/>
          <w:sz w:val="20"/>
          <w:szCs w:val="20"/>
        </w:rPr>
      </w:pPr>
      <w:r w:rsidRPr="00FA3E61">
        <w:rPr>
          <w:rFonts w:ascii="Times New Roman" w:eastAsia="Calibri" w:hAnsi="Times New Roman" w:cs="Times New Roman"/>
          <w:sz w:val="20"/>
          <w:szCs w:val="20"/>
        </w:rPr>
        <w:t>Because most Oriental bittersweet seed remains viable in the seed bank for only 1 year [30,162], fire that kills a year's cohort of Oriental bittersweet seedlings, and any seeds remaining on plants, would remove most of the Oriental bittersweet seed bank. Even with severe fire, however, it is unlikely that a single fire would kill all Oriental bittersweet seed sources on or near a site. Because Oriental bittersweet is a prolific seed producer, its seed bank can be quickly replenished by on-site, unburned plants or nearby seed sources [7].</w:t>
      </w:r>
    </w:p>
    <w:p w14:paraId="52D0B28C" w14:textId="77777777" w:rsidR="00FA3E61" w:rsidRPr="00FA3E61" w:rsidRDefault="00FA3E61" w:rsidP="00FA3E61">
      <w:pPr>
        <w:spacing w:after="160" w:line="259" w:lineRule="auto"/>
        <w:rPr>
          <w:rFonts w:ascii="Times New Roman" w:eastAsia="Calibri" w:hAnsi="Times New Roman" w:cs="Times New Roman"/>
          <w:sz w:val="20"/>
          <w:szCs w:val="20"/>
        </w:rPr>
      </w:pPr>
    </w:p>
    <w:p w14:paraId="2B5E8A2A" w14:textId="77777777" w:rsidR="00FA3E61" w:rsidRPr="00FA3E61" w:rsidRDefault="00FA3E61" w:rsidP="00FA3E61">
      <w:pPr>
        <w:spacing w:after="160" w:line="259" w:lineRule="auto"/>
        <w:rPr>
          <w:rFonts w:ascii="Times New Roman" w:eastAsia="Calibri" w:hAnsi="Times New Roman" w:cs="Times New Roman"/>
          <w:sz w:val="20"/>
          <w:szCs w:val="20"/>
        </w:rPr>
      </w:pPr>
      <w:r w:rsidRPr="00FA3E61">
        <w:rPr>
          <w:rFonts w:ascii="Times New Roman" w:eastAsia="Calibri" w:hAnsi="Times New Roman" w:cs="Times New Roman"/>
          <w:sz w:val="20"/>
          <w:szCs w:val="20"/>
        </w:rPr>
        <w:t xml:space="preserve">Porcelain berry (Ampelopsis </w:t>
      </w:r>
      <w:proofErr w:type="spellStart"/>
      <w:r w:rsidRPr="00FA3E61">
        <w:rPr>
          <w:rFonts w:ascii="Times New Roman" w:eastAsia="Calibri" w:hAnsi="Times New Roman" w:cs="Times New Roman"/>
          <w:sz w:val="20"/>
          <w:szCs w:val="20"/>
        </w:rPr>
        <w:t>brevipedunculata</w:t>
      </w:r>
      <w:proofErr w:type="spellEnd"/>
      <w:r w:rsidRPr="00FA3E61">
        <w:rPr>
          <w:rFonts w:ascii="Times New Roman" w:eastAsia="Calibri" w:hAnsi="Times New Roman" w:cs="Times New Roman"/>
          <w:sz w:val="20"/>
          <w:szCs w:val="20"/>
        </w:rPr>
        <w:t>),</w:t>
      </w:r>
    </w:p>
    <w:p w14:paraId="64E736E9" w14:textId="77777777" w:rsidR="00FA3E61" w:rsidRPr="00FA3E61" w:rsidRDefault="00FA3E61" w:rsidP="00FA3E61">
      <w:pPr>
        <w:spacing w:after="160" w:line="259" w:lineRule="auto"/>
        <w:rPr>
          <w:rFonts w:ascii="Times New Roman" w:eastAsia="Calibri" w:hAnsi="Times New Roman" w:cs="Times New Roman"/>
          <w:sz w:val="20"/>
          <w:szCs w:val="20"/>
        </w:rPr>
      </w:pPr>
      <w:r w:rsidRPr="00FA3E61">
        <w:rPr>
          <w:rFonts w:ascii="Times New Roman" w:eastAsia="Calibri" w:hAnsi="Times New Roman" w:cs="Times New Roman"/>
          <w:sz w:val="20"/>
          <w:szCs w:val="20"/>
        </w:rPr>
        <w:t xml:space="preserve">Fire adaptations: As of this writing (2009), information pertaining to Amur </w:t>
      </w:r>
      <w:proofErr w:type="spellStart"/>
      <w:r w:rsidRPr="00FA3E61">
        <w:rPr>
          <w:rFonts w:ascii="Times New Roman" w:eastAsia="Calibri" w:hAnsi="Times New Roman" w:cs="Times New Roman"/>
          <w:sz w:val="20"/>
          <w:szCs w:val="20"/>
        </w:rPr>
        <w:t>peppervine's</w:t>
      </w:r>
      <w:proofErr w:type="spellEnd"/>
      <w:r w:rsidRPr="00FA3E61">
        <w:rPr>
          <w:rFonts w:ascii="Times New Roman" w:eastAsia="Calibri" w:hAnsi="Times New Roman" w:cs="Times New Roman"/>
          <w:sz w:val="20"/>
          <w:szCs w:val="20"/>
        </w:rPr>
        <w:t xml:space="preserve"> fire adaptations was limited to inferences based on its known biological attributes. Amur </w:t>
      </w:r>
      <w:proofErr w:type="spellStart"/>
      <w:r w:rsidRPr="00FA3E61">
        <w:rPr>
          <w:rFonts w:ascii="Times New Roman" w:eastAsia="Calibri" w:hAnsi="Times New Roman" w:cs="Times New Roman"/>
          <w:sz w:val="20"/>
          <w:szCs w:val="20"/>
        </w:rPr>
        <w:t>peppervine's</w:t>
      </w:r>
      <w:proofErr w:type="spellEnd"/>
      <w:r w:rsidRPr="00FA3E61">
        <w:rPr>
          <w:rFonts w:ascii="Times New Roman" w:eastAsia="Calibri" w:hAnsi="Times New Roman" w:cs="Times New Roman"/>
          <w:sz w:val="20"/>
          <w:szCs w:val="20"/>
        </w:rPr>
        <w:t xml:space="preserve"> underground structures may provide a source for postfire sprouting if they are not damaged by fire. Amur </w:t>
      </w:r>
      <w:proofErr w:type="spellStart"/>
      <w:r w:rsidRPr="00FA3E61">
        <w:rPr>
          <w:rFonts w:ascii="Times New Roman" w:eastAsia="Calibri" w:hAnsi="Times New Roman" w:cs="Times New Roman"/>
          <w:sz w:val="20"/>
          <w:szCs w:val="20"/>
        </w:rPr>
        <w:t>peppervine</w:t>
      </w:r>
      <w:proofErr w:type="spellEnd"/>
      <w:r w:rsidRPr="00FA3E61">
        <w:rPr>
          <w:rFonts w:ascii="Times New Roman" w:eastAsia="Calibri" w:hAnsi="Times New Roman" w:cs="Times New Roman"/>
          <w:sz w:val="20"/>
          <w:szCs w:val="20"/>
        </w:rPr>
        <w:t xml:space="preserve"> sprouts when cut (reviews by [63,77]), and may sprout—possibly from its roots or root crown—if it is top-killed by fire (see Vegetative regeneration). Amur </w:t>
      </w:r>
      <w:proofErr w:type="spellStart"/>
      <w:r w:rsidRPr="00FA3E61">
        <w:rPr>
          <w:rFonts w:ascii="Times New Roman" w:eastAsia="Calibri" w:hAnsi="Times New Roman" w:cs="Times New Roman"/>
          <w:sz w:val="20"/>
          <w:szCs w:val="20"/>
        </w:rPr>
        <w:t>peppervine</w:t>
      </w:r>
      <w:proofErr w:type="spellEnd"/>
      <w:r w:rsidRPr="00FA3E61">
        <w:rPr>
          <w:rFonts w:ascii="Times New Roman" w:eastAsia="Calibri" w:hAnsi="Times New Roman" w:cs="Times New Roman"/>
          <w:sz w:val="20"/>
          <w:szCs w:val="20"/>
        </w:rPr>
        <w:t xml:space="preserve"> spreads by seed and may establish on burned sites from off-site seed sources. Information is needed on Amur </w:t>
      </w:r>
      <w:proofErr w:type="spellStart"/>
      <w:r w:rsidRPr="00FA3E61">
        <w:rPr>
          <w:rFonts w:ascii="Times New Roman" w:eastAsia="Calibri" w:hAnsi="Times New Roman" w:cs="Times New Roman"/>
          <w:sz w:val="20"/>
          <w:szCs w:val="20"/>
        </w:rPr>
        <w:t>peppervine's</w:t>
      </w:r>
      <w:proofErr w:type="spellEnd"/>
      <w:r w:rsidRPr="00FA3E61">
        <w:rPr>
          <w:rFonts w:ascii="Times New Roman" w:eastAsia="Calibri" w:hAnsi="Times New Roman" w:cs="Times New Roman"/>
          <w:sz w:val="20"/>
          <w:szCs w:val="20"/>
        </w:rPr>
        <w:t xml:space="preserve"> seed banking potential before speculating on its ability to establish from residual seed sources on burned sites. Plant response to fire: Based on Amur </w:t>
      </w:r>
      <w:proofErr w:type="spellStart"/>
      <w:r w:rsidRPr="00FA3E61">
        <w:rPr>
          <w:rFonts w:ascii="Times New Roman" w:eastAsia="Calibri" w:hAnsi="Times New Roman" w:cs="Times New Roman"/>
          <w:sz w:val="20"/>
          <w:szCs w:val="20"/>
        </w:rPr>
        <w:t>peppervine's</w:t>
      </w:r>
      <w:proofErr w:type="spellEnd"/>
      <w:r w:rsidRPr="00FA3E61">
        <w:rPr>
          <w:rFonts w:ascii="Times New Roman" w:eastAsia="Calibri" w:hAnsi="Times New Roman" w:cs="Times New Roman"/>
          <w:sz w:val="20"/>
          <w:szCs w:val="20"/>
        </w:rPr>
        <w:t xml:space="preserve"> ability to regenerate vegetatively, produce abundant seed, and establish on open sites, it has been suggested that fire may favor Amur </w:t>
      </w:r>
      <w:proofErr w:type="spellStart"/>
      <w:r w:rsidRPr="00FA3E61">
        <w:rPr>
          <w:rFonts w:ascii="Times New Roman" w:eastAsia="Calibri" w:hAnsi="Times New Roman" w:cs="Times New Roman"/>
          <w:sz w:val="20"/>
          <w:szCs w:val="20"/>
        </w:rPr>
        <w:t>peppervine's</w:t>
      </w:r>
      <w:proofErr w:type="spellEnd"/>
      <w:r w:rsidRPr="00FA3E61">
        <w:rPr>
          <w:rFonts w:ascii="Times New Roman" w:eastAsia="Calibri" w:hAnsi="Times New Roman" w:cs="Times New Roman"/>
          <w:sz w:val="20"/>
          <w:szCs w:val="20"/>
        </w:rPr>
        <w:t xml:space="preserve"> spread (review by [14]).</w:t>
      </w:r>
    </w:p>
    <w:p w14:paraId="029FA5BC" w14:textId="77777777" w:rsidR="00DC5E49" w:rsidRDefault="00DC5E49"/>
    <w:sectPr w:rsidR="00DC5E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A3E61"/>
    <w:rsid w:val="00017F29"/>
    <w:rsid w:val="000239EA"/>
    <w:rsid w:val="00091C6B"/>
    <w:rsid w:val="00993EB0"/>
    <w:rsid w:val="00DC5E49"/>
    <w:rsid w:val="00EB7FD3"/>
    <w:rsid w:val="00FA3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10A8"/>
  <w15:chartTrackingRefBased/>
  <w15:docId w15:val="{42C13060-2E3F-467E-AEC1-0F8D5628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Panko, Robert</dc:creator>
  <cp:keywords/>
  <dc:description/>
  <cp:lastModifiedBy>Panko, Robert</cp:lastModifiedBy>
  <cp:revision>1</cp:revision>
  <dcterms:created xsi:type="dcterms:W3CDTF">2022-08-15T19:56:00Z</dcterms:created>
  <dcterms:modified xsi:type="dcterms:W3CDTF">2022-08-15T19:56:00Z</dcterms:modified>
</cp:coreProperties>
</file>